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0"/>
        <w:jc w:val="center"/>
        <w:rPr>
          <w:rFonts w:ascii="方正小标宋简体" w:hAnsi="方正小标宋简体" w:eastAsia="方正小标宋简体" w:cs="方正小标宋简体"/>
          <w:sz w:val="44"/>
          <w:szCs w:val="44"/>
        </w:rPr>
      </w:pPr>
    </w:p>
    <w:p>
      <w:pPr>
        <w:spacing w:line="560" w:lineRule="exact"/>
        <w:ind w:right="6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关于组织开展应对新冠肺炎疫情新媒体</w:t>
      </w:r>
    </w:p>
    <w:p>
      <w:pPr>
        <w:spacing w:line="560" w:lineRule="exact"/>
        <w:ind w:right="6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优秀引导作品推选活动的通知</w:t>
      </w:r>
    </w:p>
    <w:p>
      <w:pPr>
        <w:spacing w:line="560" w:lineRule="exact"/>
        <w:ind w:right="60"/>
        <w:jc w:val="center"/>
        <w:rPr>
          <w:rFonts w:ascii="方正小标宋简体" w:hAnsi="方正小标宋简体" w:eastAsia="方正小标宋简体" w:cs="方正小标宋简体"/>
          <w:sz w:val="44"/>
          <w:szCs w:val="44"/>
        </w:rPr>
      </w:pPr>
    </w:p>
    <w:p>
      <w:pPr>
        <w:spacing w:line="560" w:lineRule="exact"/>
        <w:ind w:left="1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各县（区）委网信办，各管理区、经开区党工委网信办，市直有关部门，各高校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市新闻中心：</w:t>
      </w:r>
    </w:p>
    <w:p>
      <w:pPr>
        <w:spacing w:line="560" w:lineRule="exact"/>
        <w:ind w:right="60" w:firstLine="640" w:firstLineChars="200"/>
        <w:jc w:val="both"/>
        <w:rPr>
          <w:rFonts w:eastAsia="仿宋_GB2312"/>
          <w:sz w:val="32"/>
          <w:szCs w:val="32"/>
        </w:rPr>
      </w:pPr>
      <w:r>
        <w:rPr>
          <w:rFonts w:hint="eastAsia" w:ascii="仿宋_GB2312" w:hAnsi="仿宋_GB2312" w:eastAsia="仿宋_GB2312" w:cs="仿宋_GB2312"/>
          <w:sz w:val="32"/>
          <w:szCs w:val="32"/>
        </w:rPr>
        <w:t>近期，省委网信办印发了《关于组织开展全省应对新冠肺炎疫情新媒体优秀引导作品推选活动的通知》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按照有关要求，现就开展好我市相关工作通知如下：</w:t>
      </w:r>
    </w:p>
    <w:p>
      <w:pPr>
        <w:spacing w:line="560" w:lineRule="exact"/>
        <w:ind w:firstLine="640" w:firstLineChars="200"/>
        <w:jc w:val="both"/>
        <w:rPr>
          <w:sz w:val="32"/>
          <w:szCs w:val="32"/>
        </w:rPr>
      </w:pPr>
      <w:r>
        <w:rPr>
          <w:rFonts w:hint="eastAsia" w:ascii="黑体" w:hAnsi="黑体" w:eastAsia="黑体" w:cs="黑体"/>
          <w:sz w:val="32"/>
          <w:szCs w:val="32"/>
        </w:rPr>
        <w:t>一</w:t>
      </w:r>
      <w:r>
        <w:rPr>
          <w:rFonts w:ascii="黑体" w:hAnsi="黑体" w:eastAsia="黑体" w:cs="黑体"/>
          <w:sz w:val="32"/>
          <w:szCs w:val="32"/>
        </w:rPr>
        <w:t>、作品要求</w:t>
      </w:r>
    </w:p>
    <w:p>
      <w:pPr>
        <w:spacing w:line="560" w:lineRule="exact"/>
        <w:ind w:right="160"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本次推选活动征集作品要积极宣传习近平总书记关于疫情防控工作的重要指示精神；要宣传</w:t>
      </w:r>
      <w:r>
        <w:rPr>
          <w:rFonts w:hint="eastAsia" w:ascii="仿宋_GB2312" w:hAnsi="仿宋_GB2312" w:eastAsia="仿宋_GB2312" w:cs="仿宋_GB2312"/>
          <w:sz w:val="32"/>
          <w:szCs w:val="32"/>
        </w:rPr>
        <w:t>我市</w:t>
      </w:r>
      <w:r>
        <w:rPr>
          <w:rFonts w:ascii="仿宋_GB2312" w:hAnsi="仿宋_GB2312" w:eastAsia="仿宋_GB2312" w:cs="仿宋_GB2312"/>
          <w:sz w:val="32"/>
          <w:szCs w:val="32"/>
        </w:rPr>
        <w:t>各</w:t>
      </w:r>
      <w:r>
        <w:rPr>
          <w:rFonts w:hint="eastAsia" w:ascii="仿宋_GB2312" w:hAnsi="仿宋_GB2312" w:eastAsia="仿宋_GB2312" w:cs="仿宋_GB2312"/>
          <w:sz w:val="32"/>
          <w:szCs w:val="32"/>
        </w:rPr>
        <w:t>县区、各部门</w:t>
      </w:r>
      <w:r>
        <w:rPr>
          <w:rFonts w:ascii="仿宋_GB2312" w:hAnsi="仿宋_GB2312" w:eastAsia="仿宋_GB2312" w:cs="仿宋_GB2312"/>
          <w:sz w:val="32"/>
          <w:szCs w:val="32"/>
        </w:rPr>
        <w:t>应对新冠肺炎疫情采取的有力举措；要充分反映各级党组织、广大党员干部、医务工作者、教育工作者、公安干警、社区工作人员、人民群众、志愿者、青年群体等在疫情防控中作出的积极贡献，大力营造夺取疫情防控和经济社会发展双胜利的网络舆论氛围。</w:t>
      </w:r>
    </w:p>
    <w:p>
      <w:pPr>
        <w:spacing w:line="560" w:lineRule="exact"/>
        <w:ind w:right="160"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作品发布时间范围为</w:t>
      </w:r>
      <w:r>
        <w:rPr>
          <w:rFonts w:eastAsia="Times New Roman"/>
          <w:sz w:val="32"/>
          <w:szCs w:val="32"/>
        </w:rPr>
        <w:t>2020</w:t>
      </w:r>
      <w:r>
        <w:rPr>
          <w:rFonts w:ascii="仿宋_GB2312" w:hAnsi="仿宋_GB2312" w:eastAsia="仿宋_GB2312" w:cs="仿宋_GB2312"/>
          <w:sz w:val="32"/>
          <w:szCs w:val="32"/>
        </w:rPr>
        <w:t>年</w:t>
      </w:r>
      <w:r>
        <w:rPr>
          <w:rFonts w:eastAsia="Times New Roman"/>
          <w:sz w:val="32"/>
          <w:szCs w:val="32"/>
        </w:rPr>
        <w:t>1</w:t>
      </w:r>
      <w:r>
        <w:rPr>
          <w:rFonts w:ascii="仿宋_GB2312" w:hAnsi="仿宋_GB2312" w:eastAsia="仿宋_GB2312" w:cs="仿宋_GB2312"/>
          <w:sz w:val="32"/>
          <w:szCs w:val="32"/>
        </w:rPr>
        <w:t>月</w:t>
      </w:r>
      <w:r>
        <w:rPr>
          <w:rFonts w:eastAsia="Times New Roman"/>
          <w:sz w:val="32"/>
          <w:szCs w:val="32"/>
        </w:rPr>
        <w:t>23</w:t>
      </w:r>
      <w:r>
        <w:rPr>
          <w:rFonts w:ascii="仿宋_GB2312" w:hAnsi="仿宋_GB2312" w:eastAsia="仿宋_GB2312" w:cs="仿宋_GB2312"/>
          <w:sz w:val="32"/>
          <w:szCs w:val="32"/>
        </w:rPr>
        <w:t>日至</w:t>
      </w:r>
      <w:r>
        <w:rPr>
          <w:rFonts w:eastAsia="Times New Roman"/>
          <w:sz w:val="32"/>
          <w:szCs w:val="32"/>
        </w:rPr>
        <w:t>2020</w:t>
      </w:r>
      <w:r>
        <w:rPr>
          <w:rFonts w:ascii="仿宋_GB2312" w:hAnsi="仿宋_GB2312" w:eastAsia="仿宋_GB2312" w:cs="仿宋_GB2312"/>
          <w:sz w:val="32"/>
          <w:szCs w:val="32"/>
        </w:rPr>
        <w:t>年</w:t>
      </w:r>
      <w:r>
        <w:rPr>
          <w:rFonts w:eastAsia="Times New Roman"/>
          <w:sz w:val="32"/>
          <w:szCs w:val="32"/>
        </w:rPr>
        <w:t>4</w:t>
      </w:r>
      <w:r>
        <w:rPr>
          <w:rFonts w:ascii="仿宋_GB2312" w:hAnsi="仿宋_GB2312" w:eastAsia="仿宋_GB2312" w:cs="仿宋_GB2312"/>
          <w:sz w:val="32"/>
          <w:szCs w:val="32"/>
        </w:rPr>
        <w:t>月</w:t>
      </w:r>
      <w:r>
        <w:rPr>
          <w:rFonts w:eastAsia="Times New Roman"/>
          <w:sz w:val="32"/>
          <w:szCs w:val="32"/>
        </w:rPr>
        <w:t>15</w:t>
      </w:r>
      <w:r>
        <w:rPr>
          <w:rFonts w:ascii="仿宋_GB2312" w:hAnsi="仿宋_GB2312" w:eastAsia="仿宋_GB2312" w:cs="仿宋_GB2312"/>
          <w:sz w:val="32"/>
          <w:szCs w:val="32"/>
        </w:rPr>
        <w:t>日。</w:t>
      </w:r>
    </w:p>
    <w:p>
      <w:pPr>
        <w:spacing w:line="560" w:lineRule="exact"/>
        <w:ind w:firstLine="640" w:firstLineChars="200"/>
        <w:jc w:val="both"/>
        <w:rPr>
          <w:sz w:val="32"/>
          <w:szCs w:val="32"/>
        </w:rPr>
      </w:pPr>
      <w:r>
        <w:rPr>
          <w:rFonts w:hint="eastAsia" w:ascii="黑体" w:hAnsi="黑体" w:eastAsia="黑体" w:cs="黑体"/>
          <w:sz w:val="32"/>
          <w:szCs w:val="32"/>
        </w:rPr>
        <w:t>二</w:t>
      </w:r>
      <w:r>
        <w:rPr>
          <w:rFonts w:ascii="黑体" w:hAnsi="黑体" w:eastAsia="黑体" w:cs="黑体"/>
          <w:sz w:val="32"/>
          <w:szCs w:val="32"/>
        </w:rPr>
        <w:t>、作品类型</w:t>
      </w:r>
    </w:p>
    <w:p>
      <w:pPr>
        <w:spacing w:line="560" w:lineRule="exact"/>
        <w:ind w:firstLine="643" w:firstLineChars="200"/>
        <w:jc w:val="both"/>
        <w:rPr>
          <w:sz w:val="32"/>
          <w:szCs w:val="32"/>
        </w:rPr>
      </w:pPr>
      <w:r>
        <w:rPr>
          <w:rFonts w:ascii="仿宋_GB2312" w:hAnsi="仿宋_GB2312" w:eastAsia="仿宋_GB2312" w:cs="仿宋_GB2312"/>
          <w:b/>
          <w:bCs/>
          <w:sz w:val="32"/>
          <w:szCs w:val="32"/>
        </w:rPr>
        <w:t>短视频：</w:t>
      </w:r>
      <w:r>
        <w:rPr>
          <w:rFonts w:ascii="仿宋_GB2312" w:hAnsi="仿宋_GB2312" w:eastAsia="仿宋_GB2312" w:cs="仿宋_GB2312"/>
          <w:sz w:val="32"/>
          <w:szCs w:val="32"/>
        </w:rPr>
        <w:t>具有一定情节的原创视频作品（含</w:t>
      </w:r>
      <w:r>
        <w:rPr>
          <w:rFonts w:eastAsia="Times New Roman"/>
          <w:sz w:val="32"/>
          <w:szCs w:val="32"/>
        </w:rPr>
        <w:t>vlog</w:t>
      </w:r>
      <w:r>
        <w:rPr>
          <w:rFonts w:ascii="仿宋_GB2312" w:hAnsi="仿宋_GB2312" w:eastAsia="仿宋_GB2312" w:cs="仿宋_GB2312"/>
          <w:sz w:val="32"/>
          <w:szCs w:val="32"/>
        </w:rPr>
        <w:t>等形式）；</w:t>
      </w:r>
    </w:p>
    <w:p>
      <w:pPr>
        <w:spacing w:line="560" w:lineRule="exact"/>
        <w:ind w:firstLine="643" w:firstLineChars="200"/>
        <w:jc w:val="both"/>
        <w:rPr>
          <w:sz w:val="32"/>
          <w:szCs w:val="32"/>
        </w:rPr>
      </w:pPr>
      <w:r>
        <w:rPr>
          <w:rFonts w:ascii="仿宋_GB2312" w:hAnsi="仿宋_GB2312" w:eastAsia="仿宋_GB2312" w:cs="仿宋_GB2312"/>
          <w:b/>
          <w:bCs/>
          <w:sz w:val="32"/>
          <w:szCs w:val="32"/>
        </w:rPr>
        <w:t>创意</w:t>
      </w:r>
      <w:r>
        <w:rPr>
          <w:rFonts w:eastAsia="Times New Roman"/>
          <w:b/>
          <w:bCs/>
          <w:sz w:val="32"/>
          <w:szCs w:val="32"/>
        </w:rPr>
        <w:t>H5</w:t>
      </w:r>
      <w:r>
        <w:rPr>
          <w:rFonts w:ascii="仿宋_GB2312" w:hAnsi="仿宋_GB2312" w:eastAsia="仿宋_GB2312" w:cs="仿宋_GB2312"/>
          <w:b/>
          <w:bCs/>
          <w:sz w:val="32"/>
          <w:szCs w:val="32"/>
        </w:rPr>
        <w:t>：</w:t>
      </w:r>
      <w:r>
        <w:rPr>
          <w:rFonts w:ascii="仿宋_GB2312" w:hAnsi="仿宋_GB2312" w:eastAsia="仿宋_GB2312" w:cs="仿宋_GB2312"/>
          <w:sz w:val="32"/>
          <w:szCs w:val="32"/>
        </w:rPr>
        <w:t>通过制作</w:t>
      </w:r>
      <w:r>
        <w:rPr>
          <w:rFonts w:eastAsia="Times New Roman"/>
          <w:sz w:val="32"/>
          <w:szCs w:val="32"/>
        </w:rPr>
        <w:t>H5</w:t>
      </w:r>
      <w:r>
        <w:rPr>
          <w:rFonts w:ascii="仿宋_GB2312" w:hAnsi="仿宋_GB2312" w:eastAsia="仿宋_GB2312" w:cs="仿宋_GB2312"/>
          <w:sz w:val="32"/>
          <w:szCs w:val="32"/>
        </w:rPr>
        <w:t>页面，吸纳图文、短视频、音频等传播元素的作品；</w:t>
      </w:r>
      <w:bookmarkStart w:id="0" w:name="page3"/>
      <w:bookmarkEnd w:id="0"/>
    </w:p>
    <w:p>
      <w:pPr>
        <w:spacing w:line="560" w:lineRule="exact"/>
        <w:ind w:firstLine="643" w:firstLineChars="200"/>
        <w:jc w:val="both"/>
        <w:rPr>
          <w:sz w:val="32"/>
          <w:szCs w:val="32"/>
        </w:rPr>
      </w:pPr>
      <w:r>
        <w:rPr>
          <w:rFonts w:ascii="仿宋_GB2312" w:hAnsi="仿宋_GB2312" w:eastAsia="仿宋_GB2312" w:cs="仿宋_GB2312"/>
          <w:b/>
          <w:bCs/>
          <w:sz w:val="32"/>
          <w:szCs w:val="32"/>
        </w:rPr>
        <w:t>图文（含海报）：</w:t>
      </w:r>
      <w:r>
        <w:rPr>
          <w:rFonts w:ascii="仿宋_GB2312" w:hAnsi="仿宋_GB2312" w:eastAsia="仿宋_GB2312" w:cs="仿宋_GB2312"/>
          <w:sz w:val="32"/>
          <w:szCs w:val="32"/>
        </w:rPr>
        <w:t>以图片和文字混合编排的作品；</w:t>
      </w:r>
    </w:p>
    <w:p>
      <w:pPr>
        <w:spacing w:line="560" w:lineRule="exact"/>
        <w:ind w:firstLine="643" w:firstLineChars="200"/>
        <w:jc w:val="both"/>
        <w:rPr>
          <w:rFonts w:ascii="仿宋_GB2312" w:hAnsi="仿宋_GB2312" w:eastAsia="仿宋_GB2312" w:cs="仿宋_GB2312"/>
          <w:sz w:val="32"/>
          <w:szCs w:val="32"/>
        </w:rPr>
      </w:pPr>
      <w:r>
        <w:rPr>
          <w:rFonts w:ascii="仿宋_GB2312" w:hAnsi="仿宋_GB2312" w:eastAsia="仿宋_GB2312" w:cs="仿宋_GB2312"/>
          <w:b/>
          <w:bCs/>
          <w:sz w:val="32"/>
          <w:szCs w:val="32"/>
        </w:rPr>
        <w:t>其他：</w:t>
      </w:r>
      <w:r>
        <w:rPr>
          <w:rFonts w:ascii="仿宋_GB2312" w:hAnsi="仿宋_GB2312" w:eastAsia="仿宋_GB2312" w:cs="仿宋_GB2312"/>
          <w:sz w:val="32"/>
          <w:szCs w:val="32"/>
        </w:rPr>
        <w:t>利用漫画、音频、</w:t>
      </w:r>
      <w:r>
        <w:rPr>
          <w:rFonts w:eastAsia="Times New Roman"/>
          <w:sz w:val="32"/>
          <w:szCs w:val="32"/>
        </w:rPr>
        <w:t>VR</w:t>
      </w:r>
      <w:r>
        <w:rPr>
          <w:rFonts w:ascii="仿宋_GB2312" w:hAnsi="仿宋_GB2312" w:eastAsia="仿宋_GB2312" w:cs="仿宋_GB2312"/>
          <w:sz w:val="32"/>
          <w:szCs w:val="32"/>
        </w:rPr>
        <w:t>、</w:t>
      </w:r>
      <w:r>
        <w:rPr>
          <w:rFonts w:eastAsia="Times New Roman"/>
          <w:sz w:val="32"/>
          <w:szCs w:val="32"/>
        </w:rPr>
        <w:t>AR</w:t>
      </w:r>
      <w:r>
        <w:rPr>
          <w:rFonts w:ascii="仿宋_GB2312" w:hAnsi="仿宋_GB2312" w:eastAsia="仿宋_GB2312" w:cs="仿宋_GB2312"/>
          <w:sz w:val="32"/>
          <w:szCs w:val="32"/>
        </w:rPr>
        <w:t>等形式及技术手段制作的作品。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报送</w:t>
      </w:r>
      <w:r>
        <w:rPr>
          <w:rFonts w:hint="eastAsia" w:ascii="黑体" w:hAnsi="黑体" w:eastAsia="黑体" w:cs="黑体"/>
          <w:sz w:val="32"/>
          <w:szCs w:val="32"/>
        </w:rPr>
        <w:t>要求</w:t>
      </w:r>
    </w:p>
    <w:p>
      <w:pPr>
        <w:spacing w:line="560" w:lineRule="exact"/>
        <w:ind w:firstLine="640" w:firstLineChars="200"/>
        <w:jc w:val="both"/>
        <w:rPr>
          <w:rFonts w:ascii="仿宋_GB2312" w:hAnsi="仿宋_GB2312" w:eastAsia="仿宋_GB2312" w:cs="仿宋_GB2312"/>
          <w:sz w:val="32"/>
          <w:szCs w:val="32"/>
        </w:rPr>
      </w:pPr>
      <w:bookmarkStart w:id="4" w:name="_GoBack"/>
      <w:r>
        <w:rPr>
          <w:rFonts w:hint="eastAsia" w:ascii="仿宋_GB2312" w:hAnsi="仿宋_GB2312" w:eastAsia="仿宋_GB2312" w:cs="仿宋_GB2312"/>
          <w:sz w:val="32"/>
          <w:szCs w:val="32"/>
        </w:rPr>
        <w:t>各县区、各部门、各高校</w:t>
      </w:r>
      <w:bookmarkEnd w:id="4"/>
      <w:r>
        <w:rPr>
          <w:rFonts w:hint="eastAsia" w:ascii="仿宋_GB2312" w:hAnsi="仿宋_GB2312" w:eastAsia="仿宋_GB2312" w:cs="仿宋_GB2312"/>
          <w:sz w:val="32"/>
          <w:szCs w:val="32"/>
        </w:rPr>
        <w:t>每个类型报送1-2个作品，市新闻中心每个类型报送3-5个作品，多报不限。市委网信办对报送作品进行审核并择优报送至省委网信办，省委网信办将对作品进行遴选评优，为优秀作品发放证书并给予一定金额的补贴支持。</w:t>
      </w:r>
    </w:p>
    <w:p>
      <w:pPr>
        <w:spacing w:line="560" w:lineRule="exact"/>
        <w:ind w:firstLine="640" w:firstLineChars="200"/>
        <w:jc w:val="both"/>
        <w:rPr>
          <w:rFonts w:eastAsia="仿宋_GB2312"/>
          <w:sz w:val="32"/>
          <w:szCs w:val="32"/>
        </w:rPr>
      </w:pPr>
      <w:r>
        <w:rPr>
          <w:rFonts w:hint="eastAsia" w:ascii="仿宋_GB2312" w:hAnsi="仿宋_GB2312" w:eastAsia="仿宋_GB2312" w:cs="仿宋_GB2312"/>
          <w:sz w:val="32"/>
          <w:szCs w:val="32"/>
        </w:rPr>
        <w:t>请于</w:t>
      </w:r>
      <w:r>
        <w:rPr>
          <w:rFonts w:eastAsia="Times New Roman"/>
          <w:sz w:val="32"/>
          <w:szCs w:val="32"/>
        </w:rPr>
        <w:t>5</w:t>
      </w:r>
      <w:r>
        <w:rPr>
          <w:rFonts w:hint="eastAsia" w:eastAsia="宋体"/>
          <w:sz w:val="32"/>
          <w:szCs w:val="32"/>
        </w:rPr>
        <w:t>月8</w:t>
      </w:r>
      <w:r>
        <w:rPr>
          <w:rFonts w:ascii="仿宋_GB2312" w:hAnsi="仿宋_GB2312" w:eastAsia="仿宋_GB2312" w:cs="仿宋_GB2312"/>
          <w:sz w:val="32"/>
          <w:szCs w:val="32"/>
        </w:rPr>
        <w:t>日前</w:t>
      </w:r>
      <w:r>
        <w:rPr>
          <w:rFonts w:hint="eastAsia" w:ascii="仿宋_GB2312" w:hAnsi="仿宋_GB2312" w:eastAsia="仿宋_GB2312" w:cs="仿宋_GB2312"/>
          <w:sz w:val="32"/>
          <w:szCs w:val="32"/>
        </w:rPr>
        <w:t>，将作品及推荐表报送至网宣科邮箱：</w:t>
      </w:r>
      <w:r>
        <w:fldChar w:fldCharType="begin"/>
      </w:r>
      <w:r>
        <w:instrText xml:space="preserve"> HYPERLINK "mailto:zjkswxk@163.com，邮件命名" </w:instrText>
      </w:r>
      <w:r>
        <w:fldChar w:fldCharType="separate"/>
      </w:r>
      <w:r>
        <w:rPr>
          <w:rStyle w:val="8"/>
          <w:rFonts w:hint="eastAsia" w:ascii="仿宋_GB2312" w:hAnsi="仿宋_GB2312" w:eastAsia="仿宋_GB2312" w:cs="仿宋_GB2312"/>
          <w:sz w:val="32"/>
          <w:szCs w:val="32"/>
        </w:rPr>
        <w:t>zjkswxk@163.com</w:t>
      </w:r>
      <w:r>
        <w:rPr>
          <w:rStyle w:val="8"/>
          <w:rFonts w:hint="eastAsia" w:ascii="仿宋_GB2312" w:hAnsi="仿宋_GB2312" w:eastAsia="仿宋_GB2312" w:cs="仿宋_GB2312"/>
          <w:color w:val="auto"/>
          <w:sz w:val="32"/>
          <w:szCs w:val="32"/>
          <w:u w:val="none"/>
        </w:rPr>
        <w:t>，邮件命名“单位名称</w:t>
      </w:r>
      <w:r>
        <w:rPr>
          <w:rStyle w:val="8"/>
          <w:rFonts w:hint="eastAsia" w:ascii="仿宋_GB2312" w:hAnsi="仿宋_GB2312" w:eastAsia="仿宋_GB2312" w:cs="仿宋_GB2312"/>
          <w:color w:val="auto"/>
          <w:sz w:val="32"/>
          <w:szCs w:val="32"/>
          <w:u w:val="none"/>
        </w:rPr>
        <w:fldChar w:fldCharType="end"/>
      </w:r>
      <w:r>
        <w:rPr>
          <w:rFonts w:hint="eastAsia" w:ascii="仿宋_GB2312" w:hAnsi="仿宋_GB2312" w:eastAsia="仿宋_GB2312" w:cs="仿宋_GB2312"/>
          <w:sz w:val="32"/>
          <w:szCs w:val="32"/>
        </w:rPr>
        <w:t>+应对新冠肺炎疫情新媒体引导作品 ”。</w:t>
      </w:r>
      <w:bookmarkStart w:id="1" w:name="page6"/>
      <w:bookmarkEnd w:id="1"/>
      <w:bookmarkStart w:id="2" w:name="page8"/>
      <w:bookmarkEnd w:id="2"/>
      <w:bookmarkStart w:id="3" w:name="page7"/>
      <w:bookmarkEnd w:id="3"/>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联系人：尹鸿飞      联系方式：8022589  13333130990</w:t>
      </w: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附件：全省应对新冠肺炎疫情新媒体引导作品推荐表</w:t>
      </w: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中共张家口市委网信办</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2020年4月28日</w:t>
      </w: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ind w:firstLine="640" w:firstLineChars="200"/>
        <w:jc w:val="both"/>
        <w:rPr>
          <w:rFonts w:ascii="仿宋_GB2312" w:hAnsi="仿宋_GB2312" w:eastAsia="仿宋_GB2312" w:cs="仿宋_GB2312"/>
          <w:sz w:val="32"/>
          <w:szCs w:val="32"/>
        </w:rPr>
      </w:pPr>
    </w:p>
    <w:p>
      <w:pPr>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60" w:lineRule="exact"/>
        <w:jc w:val="center"/>
        <w:rPr>
          <w:rFonts w:hint="eastAsia" w:cs="仿宋_GB2312" w:asciiTheme="majorEastAsia" w:hAnsiTheme="majorEastAsia" w:eastAsiaTheme="majorEastAsia"/>
          <w:b/>
          <w:sz w:val="32"/>
          <w:szCs w:val="32"/>
        </w:rPr>
      </w:pPr>
      <w:r>
        <w:rPr>
          <w:rFonts w:hint="eastAsia" w:cs="仿宋_GB2312" w:asciiTheme="majorEastAsia" w:hAnsiTheme="majorEastAsia" w:eastAsiaTheme="majorEastAsia"/>
          <w:b/>
          <w:sz w:val="32"/>
          <w:szCs w:val="32"/>
        </w:rPr>
        <w:t>全省应对新冠肺炎疫情新媒体引导作品推荐表</w:t>
      </w:r>
    </w:p>
    <w:p>
      <w:pPr>
        <w:spacing w:line="560" w:lineRule="exact"/>
        <w:jc w:val="center"/>
        <w:rPr>
          <w:rFonts w:cs="仿宋_GB2312" w:asciiTheme="majorEastAsia" w:hAnsiTheme="majorEastAsia" w:eastAsiaTheme="majorEastAsia"/>
          <w:b/>
          <w:sz w:val="32"/>
          <w:szCs w:val="32"/>
        </w:rPr>
      </w:pPr>
    </w:p>
    <w:tbl>
      <w:tblPr>
        <w:tblStyle w:val="6"/>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1777"/>
        <w:gridCol w:w="1119"/>
        <w:gridCol w:w="1650"/>
        <w:gridCol w:w="1027"/>
        <w:gridCol w:w="70"/>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12" w:type="dxa"/>
            <w:vAlign w:val="center"/>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作品名称</w:t>
            </w:r>
          </w:p>
        </w:tc>
        <w:tc>
          <w:tcPr>
            <w:tcW w:w="2896" w:type="dxa"/>
            <w:gridSpan w:val="2"/>
            <w:vAlign w:val="center"/>
          </w:tcPr>
          <w:p>
            <w:pPr>
              <w:widowControl w:val="0"/>
              <w:spacing w:line="560" w:lineRule="exact"/>
              <w:jc w:val="center"/>
              <w:rPr>
                <w:rFonts w:ascii="仿宋_GB2312" w:hAnsi="仿宋_GB2312" w:eastAsia="仿宋_GB2312" w:cs="仿宋_GB2312"/>
                <w:sz w:val="28"/>
                <w:szCs w:val="28"/>
              </w:rPr>
            </w:pPr>
          </w:p>
        </w:tc>
        <w:tc>
          <w:tcPr>
            <w:tcW w:w="1650" w:type="dxa"/>
            <w:vAlign w:val="center"/>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参评项目</w:t>
            </w:r>
          </w:p>
        </w:tc>
        <w:tc>
          <w:tcPr>
            <w:tcW w:w="2800" w:type="dxa"/>
            <w:gridSpan w:val="3"/>
            <w:vAlign w:val="center"/>
          </w:tcPr>
          <w:p>
            <w:pPr>
              <w:widowControl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912" w:type="dxa"/>
            <w:vAlign w:val="center"/>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首发平台</w:t>
            </w:r>
          </w:p>
        </w:tc>
        <w:tc>
          <w:tcPr>
            <w:tcW w:w="2896" w:type="dxa"/>
            <w:gridSpan w:val="2"/>
            <w:vAlign w:val="center"/>
          </w:tcPr>
          <w:p>
            <w:pPr>
              <w:widowControl w:val="0"/>
              <w:spacing w:line="560" w:lineRule="exact"/>
              <w:jc w:val="center"/>
              <w:rPr>
                <w:rFonts w:ascii="仿宋_GB2312" w:hAnsi="仿宋_GB2312" w:eastAsia="仿宋_GB2312" w:cs="仿宋_GB2312"/>
                <w:sz w:val="28"/>
                <w:szCs w:val="28"/>
              </w:rPr>
            </w:pPr>
          </w:p>
        </w:tc>
        <w:tc>
          <w:tcPr>
            <w:tcW w:w="1650" w:type="dxa"/>
            <w:vAlign w:val="center"/>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首发日期</w:t>
            </w:r>
          </w:p>
        </w:tc>
        <w:tc>
          <w:tcPr>
            <w:tcW w:w="2800" w:type="dxa"/>
            <w:gridSpan w:val="3"/>
            <w:vAlign w:val="center"/>
          </w:tcPr>
          <w:p>
            <w:pPr>
              <w:widowControl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12" w:type="dxa"/>
            <w:vAlign w:val="center"/>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网络地址</w:t>
            </w:r>
          </w:p>
        </w:tc>
        <w:tc>
          <w:tcPr>
            <w:tcW w:w="7346" w:type="dxa"/>
            <w:gridSpan w:val="6"/>
            <w:vAlign w:val="center"/>
          </w:tcPr>
          <w:p>
            <w:pPr>
              <w:widowControl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12" w:type="dxa"/>
            <w:vAlign w:val="center"/>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点击量</w:t>
            </w:r>
          </w:p>
        </w:tc>
        <w:tc>
          <w:tcPr>
            <w:tcW w:w="1777" w:type="dxa"/>
            <w:vAlign w:val="center"/>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FF"/>
                <w:sz w:val="28"/>
                <w:szCs w:val="28"/>
              </w:rPr>
              <w:t>精确个位数</w:t>
            </w:r>
          </w:p>
        </w:tc>
        <w:tc>
          <w:tcPr>
            <w:tcW w:w="1119" w:type="dxa"/>
            <w:vAlign w:val="center"/>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评论量</w:t>
            </w:r>
          </w:p>
        </w:tc>
        <w:tc>
          <w:tcPr>
            <w:tcW w:w="1650" w:type="dxa"/>
            <w:vAlign w:val="center"/>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FF"/>
                <w:sz w:val="28"/>
                <w:szCs w:val="28"/>
              </w:rPr>
              <w:t>精确个位数</w:t>
            </w:r>
          </w:p>
        </w:tc>
        <w:tc>
          <w:tcPr>
            <w:tcW w:w="1097" w:type="dxa"/>
            <w:gridSpan w:val="2"/>
            <w:vAlign w:val="center"/>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转发量</w:t>
            </w:r>
          </w:p>
        </w:tc>
        <w:tc>
          <w:tcPr>
            <w:tcW w:w="1703" w:type="dxa"/>
            <w:vAlign w:val="center"/>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FF"/>
                <w:sz w:val="28"/>
                <w:szCs w:val="28"/>
              </w:rPr>
              <w:t>精确个位数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912" w:type="dxa"/>
            <w:vAlign w:val="center"/>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主要转发平台</w:t>
            </w:r>
          </w:p>
        </w:tc>
        <w:tc>
          <w:tcPr>
            <w:tcW w:w="7346" w:type="dxa"/>
            <w:gridSpan w:val="6"/>
            <w:vAlign w:val="center"/>
          </w:tcPr>
          <w:p>
            <w:pPr>
              <w:widowControl w:val="0"/>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1912" w:type="dxa"/>
            <w:vAlign w:val="center"/>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作品</w:t>
            </w:r>
          </w:p>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简介</w:t>
            </w:r>
          </w:p>
        </w:tc>
        <w:tc>
          <w:tcPr>
            <w:tcW w:w="7346" w:type="dxa"/>
            <w:gridSpan w:val="6"/>
            <w:vAlign w:val="center"/>
          </w:tcPr>
          <w:p>
            <w:pPr>
              <w:widowControl w:val="0"/>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color w:val="0000FF"/>
                <w:sz w:val="28"/>
                <w:szCs w:val="28"/>
              </w:rPr>
              <w:t>在本栏目内填报作品采编过程、社会效果等情况，包括媒体融合报道情况和应用新媒体情况。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1912" w:type="dxa"/>
            <w:vAlign w:val="center"/>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社会</w:t>
            </w:r>
          </w:p>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效果</w:t>
            </w:r>
          </w:p>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评价</w:t>
            </w:r>
          </w:p>
        </w:tc>
        <w:tc>
          <w:tcPr>
            <w:tcW w:w="7346" w:type="dxa"/>
            <w:gridSpan w:val="6"/>
            <w:vAlign w:val="center"/>
          </w:tcPr>
          <w:p>
            <w:pPr>
              <w:widowControl w:val="0"/>
              <w:spacing w:line="56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color w:val="0000FF"/>
                <w:sz w:val="28"/>
                <w:szCs w:val="28"/>
              </w:rPr>
              <w:t>报送单位填写主要社会效果评价情况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6" w:hRule="atLeast"/>
        </w:trPr>
        <w:tc>
          <w:tcPr>
            <w:tcW w:w="1912" w:type="dxa"/>
            <w:vAlign w:val="center"/>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推荐</w:t>
            </w:r>
          </w:p>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理由</w:t>
            </w:r>
          </w:p>
        </w:tc>
        <w:tc>
          <w:tcPr>
            <w:tcW w:w="7346" w:type="dxa"/>
            <w:gridSpan w:val="6"/>
            <w:vAlign w:val="center"/>
          </w:tcPr>
          <w:p>
            <w:pPr>
              <w:widowControl w:val="0"/>
              <w:spacing w:line="560" w:lineRule="exact"/>
              <w:jc w:val="left"/>
              <w:rPr>
                <w:rFonts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　　</w:t>
            </w:r>
          </w:p>
          <w:p>
            <w:pPr>
              <w:widowControl w:val="0"/>
              <w:spacing w:line="560" w:lineRule="exact"/>
              <w:ind w:firstLine="560"/>
              <w:jc w:val="right"/>
              <w:rPr>
                <w:rFonts w:ascii="仿宋_GB2312" w:hAnsi="仿宋_GB2312" w:eastAsia="仿宋_GB2312" w:cs="仿宋_GB2312"/>
                <w:color w:val="0000FF"/>
                <w:sz w:val="28"/>
                <w:szCs w:val="28"/>
              </w:rPr>
            </w:pPr>
          </w:p>
          <w:p>
            <w:pPr>
              <w:widowControl w:val="0"/>
              <w:spacing w:line="560" w:lineRule="exact"/>
              <w:ind w:firstLine="560"/>
              <w:jc w:val="center"/>
              <w:rPr>
                <w:rFonts w:hint="eastAsia"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　　　　　　　　</w:t>
            </w:r>
          </w:p>
          <w:p>
            <w:pPr>
              <w:widowControl w:val="0"/>
              <w:spacing w:line="560" w:lineRule="exact"/>
              <w:ind w:firstLine="560"/>
              <w:jc w:val="center"/>
              <w:rPr>
                <w:rFonts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 xml:space="preserve">                  　签名：</w:t>
            </w:r>
          </w:p>
          <w:p>
            <w:pPr>
              <w:widowControl w:val="0"/>
              <w:spacing w:line="560" w:lineRule="exact"/>
              <w:ind w:firstLine="560"/>
              <w:jc w:val="right"/>
              <w:rPr>
                <w:rFonts w:ascii="仿宋_GB2312" w:hAnsi="仿宋_GB2312" w:eastAsia="仿宋_GB2312" w:cs="仿宋_GB2312"/>
                <w:color w:val="0000FF"/>
                <w:sz w:val="28"/>
                <w:szCs w:val="28"/>
              </w:rPr>
            </w:pPr>
            <w:r>
              <w:rPr>
                <w:rFonts w:hint="eastAsia" w:ascii="仿宋_GB2312" w:hAnsi="仿宋_GB2312" w:eastAsia="仿宋_GB2312" w:cs="仿宋_GB2312"/>
                <w:color w:val="0000FF"/>
                <w:sz w:val="28"/>
                <w:szCs w:val="28"/>
              </w:rPr>
              <w:t>2020年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1912" w:type="dxa"/>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777" w:type="dxa"/>
          </w:tcPr>
          <w:p>
            <w:pPr>
              <w:widowControl w:val="0"/>
              <w:spacing w:line="560" w:lineRule="exact"/>
              <w:jc w:val="center"/>
              <w:rPr>
                <w:rFonts w:ascii="仿宋_GB2312" w:hAnsi="仿宋_GB2312" w:eastAsia="仿宋_GB2312" w:cs="仿宋_GB2312"/>
                <w:sz w:val="28"/>
                <w:szCs w:val="28"/>
              </w:rPr>
            </w:pPr>
          </w:p>
        </w:tc>
        <w:tc>
          <w:tcPr>
            <w:tcW w:w="1119" w:type="dxa"/>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1650" w:type="dxa"/>
          </w:tcPr>
          <w:p>
            <w:pPr>
              <w:widowControl w:val="0"/>
              <w:spacing w:line="560" w:lineRule="exact"/>
              <w:jc w:val="center"/>
              <w:rPr>
                <w:rFonts w:ascii="仿宋_GB2312" w:hAnsi="仿宋_GB2312" w:eastAsia="仿宋_GB2312" w:cs="仿宋_GB2312"/>
                <w:sz w:val="28"/>
                <w:szCs w:val="28"/>
              </w:rPr>
            </w:pPr>
          </w:p>
        </w:tc>
        <w:tc>
          <w:tcPr>
            <w:tcW w:w="1027" w:type="dxa"/>
          </w:tcPr>
          <w:p>
            <w:pPr>
              <w:widowControl w:val="0"/>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773" w:type="dxa"/>
            <w:gridSpan w:val="2"/>
            <w:vAlign w:val="center"/>
          </w:tcPr>
          <w:p>
            <w:pPr>
              <w:widowControl w:val="0"/>
              <w:spacing w:line="560" w:lineRule="exact"/>
              <w:jc w:val="center"/>
              <w:rPr>
                <w:rFonts w:ascii="仿宋_GB2312" w:hAnsi="仿宋_GB2312" w:eastAsia="仿宋_GB2312" w:cs="仿宋_GB2312"/>
                <w:sz w:val="28"/>
                <w:szCs w:val="28"/>
              </w:rPr>
            </w:pPr>
          </w:p>
        </w:tc>
      </w:tr>
    </w:tbl>
    <w:p>
      <w:pPr>
        <w:spacing w:line="560" w:lineRule="exact"/>
        <w:ind w:firstLine="640" w:firstLineChars="200"/>
        <w:jc w:val="both"/>
        <w:rPr>
          <w:rFonts w:ascii="仿宋_GB2312" w:hAnsi="仿宋_GB2312" w:eastAsia="仿宋_GB2312" w:cs="仿宋_GB2312"/>
          <w:sz w:val="32"/>
          <w:szCs w:val="32"/>
        </w:rPr>
      </w:pPr>
    </w:p>
    <w:sectPr>
      <w:pgSz w:w="11900" w:h="16836"/>
      <w:pgMar w:top="1440" w:right="1440" w:bottom="691" w:left="1440" w:header="0" w:footer="0" w:gutter="0"/>
      <w:cols w:equalWidth="0" w:num="1">
        <w:col w:w="90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A3C0D"/>
    <w:rsid w:val="00022FEA"/>
    <w:rsid w:val="00060A9A"/>
    <w:rsid w:val="00114D3C"/>
    <w:rsid w:val="00153E40"/>
    <w:rsid w:val="00284C0C"/>
    <w:rsid w:val="002A1B5C"/>
    <w:rsid w:val="00354737"/>
    <w:rsid w:val="00513637"/>
    <w:rsid w:val="00540C09"/>
    <w:rsid w:val="00772087"/>
    <w:rsid w:val="00783E12"/>
    <w:rsid w:val="00867194"/>
    <w:rsid w:val="008C2303"/>
    <w:rsid w:val="00A115DF"/>
    <w:rsid w:val="00C018C8"/>
    <w:rsid w:val="00DA3C0D"/>
    <w:rsid w:val="00EB23A2"/>
    <w:rsid w:val="00EB7D34"/>
    <w:rsid w:val="00F27AD7"/>
    <w:rsid w:val="02452F26"/>
    <w:rsid w:val="063F2467"/>
    <w:rsid w:val="193A41DB"/>
    <w:rsid w:val="1D5A398A"/>
    <w:rsid w:val="3EDD6D68"/>
    <w:rsid w:val="4A0D0FC1"/>
    <w:rsid w:val="53E85D9D"/>
    <w:rsid w:val="54367C70"/>
    <w:rsid w:val="7EAA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semiHidden/>
    <w:unhideWhenUsed/>
    <w:uiPriority w:val="99"/>
    <w:pPr>
      <w:tabs>
        <w:tab w:val="center" w:pos="4153"/>
        <w:tab w:val="right" w:pos="8306"/>
      </w:tabs>
      <w:snapToGrid w:val="0"/>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semiHidden/>
    <w:uiPriority w:val="99"/>
    <w:rPr>
      <w:rFonts w:eastAsiaTheme="minorEastAsia"/>
      <w:sz w:val="18"/>
      <w:szCs w:val="18"/>
    </w:rPr>
  </w:style>
  <w:style w:type="character" w:customStyle="1" w:styleId="10">
    <w:name w:val="页脚 Char"/>
    <w:basedOn w:val="7"/>
    <w:link w:val="3"/>
    <w:semiHidden/>
    <w:uiPriority w:val="99"/>
    <w:rPr>
      <w:rFonts w:eastAsiaTheme="minorEastAsia"/>
      <w:sz w:val="18"/>
      <w:szCs w:val="18"/>
    </w:rPr>
  </w:style>
  <w:style w:type="character" w:customStyle="1" w:styleId="11">
    <w:name w:val="日期 Char"/>
    <w:basedOn w:val="7"/>
    <w:link w:val="2"/>
    <w:semiHidden/>
    <w:qFormat/>
    <w:uiPriority w:val="99"/>
    <w:rPr>
      <w:rFonts w:eastAsiaTheme="minorEastAsia"/>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166</Words>
  <Characters>950</Characters>
  <Lines>7</Lines>
  <Paragraphs>2</Paragraphs>
  <TotalTime>0</TotalTime>
  <ScaleCrop>false</ScaleCrop>
  <LinksUpToDate>false</LinksUpToDate>
  <CharactersWithSpaces>1114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2020-04-27T17:56:00Z</dcterms:created>
  <dc:creator>Windows User</dc:creator>
  <cp:lastModifiedBy>飞</cp:lastModifiedBy>
  <dcterms:modified xsi:type="dcterms:W3CDTF">2020-04-28T10:55:55Z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